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774" w:rsidRPr="00165774" w:rsidRDefault="00165774" w:rsidP="0054158D">
      <w:pPr>
        <w:spacing w:afterLines="50" w:after="156" w:line="400" w:lineRule="exact"/>
        <w:jc w:val="center"/>
        <w:rPr>
          <w:rFonts w:ascii="黑体" w:eastAsia="黑体" w:hAnsi="黑体"/>
          <w:sz w:val="28"/>
          <w:szCs w:val="28"/>
        </w:rPr>
      </w:pPr>
      <w:r w:rsidRPr="00165774">
        <w:rPr>
          <w:rFonts w:ascii="黑体" w:eastAsia="黑体" w:hAnsi="黑体" w:hint="eastAsia"/>
          <w:sz w:val="28"/>
          <w:szCs w:val="28"/>
        </w:rPr>
        <w:t>《</w:t>
      </w:r>
      <w:r w:rsidRPr="00165774">
        <w:rPr>
          <w:rFonts w:ascii="Songti SC" w:eastAsia="Songti SC" w:hAnsi="Songti SC" w:hint="eastAsia"/>
          <w:sz w:val="28"/>
          <w:szCs w:val="28"/>
        </w:rPr>
        <w:t>革命型</w:t>
      </w:r>
      <w:r w:rsidRPr="00165774">
        <w:rPr>
          <w:rFonts w:ascii="Songti SC" w:eastAsia="Songti SC" w:hAnsi="Songti SC"/>
          <w:sz w:val="28"/>
          <w:szCs w:val="28"/>
        </w:rPr>
        <w:t>乡村政治的</w:t>
      </w:r>
      <w:r w:rsidRPr="00165774">
        <w:rPr>
          <w:rFonts w:ascii="Songti SC" w:eastAsia="Songti SC" w:hAnsi="Songti SC" w:hint="eastAsia"/>
          <w:sz w:val="28"/>
          <w:szCs w:val="28"/>
        </w:rPr>
        <w:t>兴起</w:t>
      </w:r>
      <w:r w:rsidRPr="00165774">
        <w:rPr>
          <w:rFonts w:ascii="Songti SC" w:eastAsia="Songti SC" w:hAnsi="Songti SC"/>
          <w:sz w:val="28"/>
          <w:szCs w:val="28"/>
        </w:rPr>
        <w:t>：1920</w:t>
      </w:r>
      <w:r w:rsidRPr="00165774">
        <w:rPr>
          <w:rFonts w:ascii="Songti SC" w:eastAsia="Songti SC" w:hAnsi="Songti SC" w:hint="eastAsia"/>
          <w:sz w:val="28"/>
          <w:szCs w:val="28"/>
        </w:rPr>
        <w:t>年代</w:t>
      </w:r>
      <w:r w:rsidRPr="00165774">
        <w:rPr>
          <w:rFonts w:ascii="Songti SC" w:eastAsia="Songti SC" w:hAnsi="Songti SC"/>
          <w:sz w:val="28"/>
          <w:szCs w:val="28"/>
        </w:rPr>
        <w:t>农民运动的启示</w:t>
      </w:r>
      <w:r w:rsidRPr="00165774">
        <w:rPr>
          <w:rFonts w:ascii="Songti SC" w:eastAsia="Songti SC" w:hAnsi="Songti SC" w:hint="eastAsia"/>
          <w:sz w:val="28"/>
          <w:szCs w:val="28"/>
        </w:rPr>
        <w:t>》</w:t>
      </w:r>
      <w:r w:rsidRPr="00165774">
        <w:rPr>
          <w:rFonts w:ascii="黑体" w:eastAsia="黑体" w:hAnsi="黑体" w:hint="eastAsia"/>
          <w:sz w:val="28"/>
          <w:szCs w:val="28"/>
        </w:rPr>
        <w:t>读书笔记</w:t>
      </w:r>
    </w:p>
    <w:p w:rsidR="0054158D" w:rsidRPr="0054158D" w:rsidRDefault="0054158D" w:rsidP="0054158D">
      <w:pPr>
        <w:spacing w:line="400" w:lineRule="exact"/>
        <w:ind w:firstLineChars="300" w:firstLine="720"/>
        <w:jc w:val="right"/>
        <w:rPr>
          <w:rFonts w:asciiTheme="minorEastAsia" w:hAnsiTheme="minorEastAsia" w:hint="eastAsia"/>
          <w:i/>
          <w:sz w:val="24"/>
          <w:szCs w:val="24"/>
          <w:u w:val="single"/>
        </w:rPr>
      </w:pPr>
      <w:proofErr w:type="gramStart"/>
      <w:r w:rsidRPr="0054158D">
        <w:rPr>
          <w:rFonts w:asciiTheme="minorEastAsia" w:hAnsiTheme="minorEastAsia" w:hint="eastAsia"/>
          <w:i/>
          <w:sz w:val="24"/>
          <w:szCs w:val="24"/>
          <w:u w:val="single"/>
        </w:rPr>
        <w:t>盛韵颖</w:t>
      </w:r>
      <w:proofErr w:type="gramEnd"/>
      <w:r w:rsidRPr="0054158D">
        <w:rPr>
          <w:rFonts w:asciiTheme="minorEastAsia" w:hAnsiTheme="minorEastAsia" w:hint="eastAsia"/>
          <w:i/>
          <w:sz w:val="24"/>
          <w:szCs w:val="24"/>
          <w:u w:val="single"/>
        </w:rPr>
        <w:t xml:space="preserve"> 2013201522</w:t>
      </w:r>
    </w:p>
    <w:p w:rsidR="00165774" w:rsidRDefault="00165774" w:rsidP="0054158D">
      <w:pPr>
        <w:spacing w:beforeLines="50" w:before="156" w:line="400" w:lineRule="exact"/>
        <w:ind w:firstLineChars="300" w:firstLine="630"/>
        <w:rPr>
          <w:rFonts w:asciiTheme="minorEastAsia" w:hAnsiTheme="minorEastAsia" w:hint="eastAsia"/>
          <w:szCs w:val="21"/>
        </w:rPr>
      </w:pPr>
      <w:r w:rsidRPr="00165774">
        <w:rPr>
          <w:rFonts w:asciiTheme="minorEastAsia" w:hAnsiTheme="minorEastAsia" w:hint="eastAsia"/>
          <w:szCs w:val="21"/>
        </w:rPr>
        <w:t>本书主要</w:t>
      </w:r>
      <w:r>
        <w:rPr>
          <w:rFonts w:asciiTheme="minorEastAsia" w:hAnsiTheme="minorEastAsia" w:hint="eastAsia"/>
          <w:szCs w:val="21"/>
        </w:rPr>
        <w:t>通过对</w:t>
      </w:r>
      <w:proofErr w:type="gramStart"/>
      <w:r>
        <w:rPr>
          <w:rFonts w:asciiTheme="minorEastAsia" w:hAnsiTheme="minorEastAsia" w:hint="eastAsia"/>
          <w:szCs w:val="21"/>
        </w:rPr>
        <w:t>1920</w:t>
      </w:r>
      <w:proofErr w:type="gramEnd"/>
      <w:r>
        <w:rPr>
          <w:rFonts w:asciiTheme="minorEastAsia" w:hAnsiTheme="minorEastAsia" w:hint="eastAsia"/>
          <w:szCs w:val="21"/>
        </w:rPr>
        <w:t>年代农民运动进行分析和对比，</w:t>
      </w:r>
      <w:r w:rsidR="00A909A3">
        <w:rPr>
          <w:rFonts w:asciiTheme="minorEastAsia" w:hAnsiTheme="minorEastAsia" w:hint="eastAsia"/>
          <w:szCs w:val="21"/>
        </w:rPr>
        <w:t>得到了</w:t>
      </w:r>
      <w:proofErr w:type="gramStart"/>
      <w:r w:rsidR="00A909A3">
        <w:rPr>
          <w:rFonts w:asciiTheme="minorEastAsia" w:hAnsiTheme="minorEastAsia" w:hint="eastAsia"/>
          <w:szCs w:val="21"/>
        </w:rPr>
        <w:t>1920</w:t>
      </w:r>
      <w:proofErr w:type="gramEnd"/>
      <w:r w:rsidR="00A909A3">
        <w:rPr>
          <w:rFonts w:asciiTheme="minorEastAsia" w:hAnsiTheme="minorEastAsia" w:hint="eastAsia"/>
          <w:szCs w:val="21"/>
        </w:rPr>
        <w:t>年代农民运动的基本特征以及不同地域之间的差异，提出</w:t>
      </w:r>
      <w:proofErr w:type="gramStart"/>
      <w:r w:rsidR="00A909A3" w:rsidRPr="00A909A3">
        <w:rPr>
          <w:rFonts w:asciiTheme="minorEastAsia" w:hAnsiTheme="minorEastAsia" w:hint="eastAsia"/>
          <w:szCs w:val="21"/>
        </w:rPr>
        <w:t>1920</w:t>
      </w:r>
      <w:proofErr w:type="gramEnd"/>
      <w:r w:rsidR="00A909A3" w:rsidRPr="00A909A3">
        <w:rPr>
          <w:rFonts w:asciiTheme="minorEastAsia" w:hAnsiTheme="minorEastAsia" w:hint="eastAsia"/>
          <w:szCs w:val="21"/>
        </w:rPr>
        <w:t>年代的农民运动抱有平民主义思想，</w:t>
      </w:r>
      <w:r w:rsidR="00A909A3">
        <w:rPr>
          <w:rFonts w:asciiTheme="minorEastAsia" w:hAnsiTheme="minorEastAsia" w:hint="eastAsia"/>
          <w:szCs w:val="21"/>
        </w:rPr>
        <w:t>是</w:t>
      </w:r>
      <w:r w:rsidR="00A909A3" w:rsidRPr="00A909A3">
        <w:rPr>
          <w:rFonts w:asciiTheme="minorEastAsia" w:hAnsiTheme="minorEastAsia" w:hint="eastAsia"/>
          <w:szCs w:val="21"/>
        </w:rPr>
        <w:t>草根</w:t>
      </w:r>
      <w:r w:rsidR="00A909A3">
        <w:rPr>
          <w:rFonts w:asciiTheme="minorEastAsia" w:hAnsiTheme="minorEastAsia" w:hint="eastAsia"/>
          <w:szCs w:val="21"/>
        </w:rPr>
        <w:t>化、平民化的运动的观点，并指出了这也是其与前50年政治运动最大的区别所在。在刚看完《文化、权力与国家》</w:t>
      </w:r>
      <w:proofErr w:type="gramStart"/>
      <w:r w:rsidR="00A909A3">
        <w:rPr>
          <w:rFonts w:asciiTheme="minorEastAsia" w:hAnsiTheme="minorEastAsia" w:hint="eastAsia"/>
          <w:szCs w:val="21"/>
        </w:rPr>
        <w:t>一</w:t>
      </w:r>
      <w:proofErr w:type="gramEnd"/>
      <w:r w:rsidR="00A909A3">
        <w:rPr>
          <w:rFonts w:asciiTheme="minorEastAsia" w:hAnsiTheme="minorEastAsia" w:hint="eastAsia"/>
          <w:szCs w:val="21"/>
        </w:rPr>
        <w:t>书后再来阅读这篇文章确实能得到很多有意义的东西，《文化、权力与国家》一书正是描写了与本文相对的“乡村精英”的乡村政治，并且主要以华北地区为研究对象，可以说有一定的局限性。而与这篇文章比较学习，可</w:t>
      </w:r>
      <w:bookmarkStart w:id="0" w:name="_GoBack"/>
      <w:bookmarkEnd w:id="0"/>
      <w:r w:rsidR="00A909A3">
        <w:rPr>
          <w:rFonts w:asciiTheme="minorEastAsia" w:hAnsiTheme="minorEastAsia" w:hint="eastAsia"/>
          <w:szCs w:val="21"/>
        </w:rPr>
        <w:t>以弥补对于中国其他地区农民运动和“平民化”的乡村革命的空缺。</w:t>
      </w:r>
    </w:p>
    <w:p w:rsidR="00696056" w:rsidRDefault="007B1C20" w:rsidP="0054158D">
      <w:pPr>
        <w:spacing w:line="400" w:lineRule="exact"/>
        <w:ind w:firstLineChars="300" w:firstLine="630"/>
        <w:rPr>
          <w:rFonts w:asciiTheme="minorEastAsia" w:hAnsiTheme="minorEastAsia" w:hint="eastAsia"/>
          <w:szCs w:val="21"/>
        </w:rPr>
      </w:pPr>
      <w:r>
        <w:rPr>
          <w:rFonts w:asciiTheme="minorEastAsia" w:hAnsiTheme="minorEastAsia" w:hint="eastAsia"/>
          <w:szCs w:val="21"/>
        </w:rPr>
        <w:t>作者首先在引言部分提出了与传统对于农民革命的研究所不同的角度即着重于政治系统的基本构造有何变化。我认同作者所说的乡村革命不能仅仅</w:t>
      </w:r>
      <w:proofErr w:type="gramStart"/>
      <w:r>
        <w:rPr>
          <w:rFonts w:asciiTheme="minorEastAsia" w:hAnsiTheme="minorEastAsia" w:hint="eastAsia"/>
          <w:szCs w:val="21"/>
        </w:rPr>
        <w:t>看做</w:t>
      </w:r>
      <w:proofErr w:type="gramEnd"/>
      <w:r w:rsidR="00696056">
        <w:rPr>
          <w:rFonts w:asciiTheme="minorEastAsia" w:hAnsiTheme="minorEastAsia" w:hint="eastAsia"/>
          <w:szCs w:val="21"/>
        </w:rPr>
        <w:t>是农民集体或个人行动的一个集合，然而作者随后提出乡村革命最根本的是乡村革命政治系统的大幅度重组和整合，对于这一点我感到甚是迷惑，似乎作者在随后的案例分析中也并未明确指出乡村革命政治系统的重组整合，难道所有的农村革命都将伴随着对政治系统的大幅度颠覆？</w:t>
      </w:r>
      <w:r w:rsidR="00256FA5">
        <w:rPr>
          <w:rFonts w:asciiTheme="minorEastAsia" w:hAnsiTheme="minorEastAsia" w:hint="eastAsia"/>
          <w:szCs w:val="21"/>
        </w:rPr>
        <w:t>其次，作者在引言中提出的自己对于农民革命的四种看法，在我看来似乎和传统对于农民革命的理论最大不同只是一个从农民革命的行为出发，而作者是从农民革命的成果总结，或许是我未能理解作者的本意,作者提及不能陷入</w:t>
      </w:r>
      <w:r w:rsidR="00256FA5" w:rsidRPr="00256FA5">
        <w:rPr>
          <w:rFonts w:asciiTheme="minorEastAsia" w:hAnsiTheme="minorEastAsia" w:hint="eastAsia"/>
          <w:szCs w:val="21"/>
        </w:rPr>
        <w:t>较庸俗的农民与革命者的行为及其因果解释之中</w:t>
      </w:r>
      <w:r w:rsidR="00256FA5">
        <w:rPr>
          <w:rFonts w:asciiTheme="minorEastAsia" w:hAnsiTheme="minorEastAsia" w:hint="eastAsia"/>
          <w:szCs w:val="21"/>
        </w:rPr>
        <w:t>，而从作者提出的四种革命分类中我</w:t>
      </w:r>
      <w:r w:rsidR="0048189D">
        <w:rPr>
          <w:rFonts w:asciiTheme="minorEastAsia" w:hAnsiTheme="minorEastAsia" w:hint="eastAsia"/>
          <w:szCs w:val="21"/>
        </w:rPr>
        <w:t>理解的作者却是从农民革命的成果总结</w:t>
      </w:r>
      <w:r w:rsidR="00256FA5" w:rsidRPr="00256FA5">
        <w:rPr>
          <w:rFonts w:asciiTheme="minorEastAsia" w:hAnsiTheme="minorEastAsia" w:hint="eastAsia"/>
          <w:szCs w:val="21"/>
        </w:rPr>
        <w:t>。</w:t>
      </w:r>
      <w:r w:rsidR="00256FA5">
        <w:rPr>
          <w:rFonts w:asciiTheme="minorEastAsia" w:hAnsiTheme="minorEastAsia" w:hint="eastAsia"/>
          <w:szCs w:val="21"/>
        </w:rPr>
        <w:t>作者称要明确“革命型乡村”的概念，但似乎在后文没有作过多的阐释。</w:t>
      </w:r>
      <w:r w:rsidR="0048189D">
        <w:rPr>
          <w:rFonts w:asciiTheme="minorEastAsia" w:hAnsiTheme="minorEastAsia" w:hint="eastAsia"/>
          <w:szCs w:val="21"/>
        </w:rPr>
        <w:t>引言的末尾作者说以革命型乡村作为中心概念才能摆正传统三个理论的位置，不是非此即彼的相互排斥。然而在我看来，传统理论既然都是从农民革命行为的原因即农民利益出发，那么这三个理论并不相互排斥？</w:t>
      </w:r>
    </w:p>
    <w:p w:rsidR="0048189D" w:rsidRDefault="0048189D" w:rsidP="0054158D">
      <w:pPr>
        <w:spacing w:line="400" w:lineRule="exact"/>
        <w:ind w:firstLineChars="300" w:firstLine="630"/>
        <w:rPr>
          <w:rFonts w:asciiTheme="minorEastAsia" w:hAnsiTheme="minorEastAsia" w:hint="eastAsia"/>
          <w:szCs w:val="21"/>
        </w:rPr>
      </w:pPr>
      <w:r>
        <w:rPr>
          <w:rFonts w:asciiTheme="minorEastAsia" w:hAnsiTheme="minorEastAsia" w:hint="eastAsia"/>
          <w:szCs w:val="21"/>
        </w:rPr>
        <w:t>因为提前研读过《文化、权力与国家》一书，在后文论述农村官僚系统或半正式治理时我们可以更好地比较两篇文章对于乡村革命的论述。例如在第四页作者提及地方行政的两项主要治理目标是</w:t>
      </w:r>
      <w:r w:rsidRPr="0048189D">
        <w:rPr>
          <w:rFonts w:asciiTheme="minorEastAsia" w:hAnsiTheme="minorEastAsia" w:hint="eastAsia"/>
          <w:szCs w:val="21"/>
        </w:rPr>
        <w:t>普遍的借助于县乡民间社会的头面人物的影响力来运作</w:t>
      </w:r>
      <w:r>
        <w:rPr>
          <w:rFonts w:asciiTheme="minorEastAsia" w:hAnsiTheme="minorEastAsia" w:hint="eastAsia"/>
          <w:szCs w:val="21"/>
        </w:rPr>
        <w:t>，这正是《文化》一书中的“乡村精英”的概念。在第五页作者论及“</w:t>
      </w:r>
      <w:r w:rsidRPr="0048189D">
        <w:rPr>
          <w:rFonts w:asciiTheme="minorEastAsia" w:hAnsiTheme="minorEastAsia" w:hint="eastAsia"/>
          <w:szCs w:val="21"/>
        </w:rPr>
        <w:t>地方自治实践反而日益陷入地方头面人物和县官方之间传统式的权力斗争（常常围绕税收和财政），而不是齐心协力的促进公共利益</w:t>
      </w:r>
      <w:r>
        <w:rPr>
          <w:rFonts w:asciiTheme="minorEastAsia" w:hAnsiTheme="minorEastAsia" w:hint="eastAsia"/>
          <w:szCs w:val="21"/>
        </w:rPr>
        <w:t>”，只是简要地点明了这一现象，然而我更希望了解出现这一现象的深层原因。随后，作者提出了由于</w:t>
      </w:r>
      <w:r w:rsidR="00591518">
        <w:rPr>
          <w:rFonts w:asciiTheme="minorEastAsia" w:hAnsiTheme="minorEastAsia" w:hint="eastAsia"/>
          <w:szCs w:val="21"/>
        </w:rPr>
        <w:t>正式官僚行政体系的稳定性和权威大大降低才导致了“土豪劣绅”的出现，但在《文化》一书中对“土豪劣绅”即所谓的“赢利型”经纪人涌现的原因却解释为国家权力的下沉对于乡村文化网络的压迫，这两种观点看似是矛盾的，又作何解释呢？</w:t>
      </w:r>
    </w:p>
    <w:p w:rsidR="00591518" w:rsidRDefault="00591518" w:rsidP="0054158D">
      <w:pPr>
        <w:spacing w:line="400" w:lineRule="exact"/>
        <w:ind w:firstLineChars="300" w:firstLine="630"/>
        <w:rPr>
          <w:rFonts w:asciiTheme="minorEastAsia" w:hAnsiTheme="minorEastAsia" w:hint="eastAsia"/>
          <w:szCs w:val="21"/>
        </w:rPr>
      </w:pPr>
      <w:r>
        <w:rPr>
          <w:rFonts w:asciiTheme="minorEastAsia" w:hAnsiTheme="minorEastAsia" w:hint="eastAsia"/>
          <w:szCs w:val="21"/>
        </w:rPr>
        <w:t>接下来，作者分析了革命型乡村政治的差异和导致这些差异的主要因素。例如，有的革命型乡村政治主要表现为农民和绅士集团之间的矛盾，有的却表现为国家政权和农民之间的二元关系，导致这些差异的原因也是多元化的，如绅士集团势力的大小、地区独特的社会经济条件、革命者的策略等。为了支持观点，作者</w:t>
      </w:r>
      <w:r w:rsidR="00182B9F">
        <w:rPr>
          <w:rFonts w:asciiTheme="minorEastAsia" w:hAnsiTheme="minorEastAsia" w:hint="eastAsia"/>
          <w:szCs w:val="21"/>
        </w:rPr>
        <w:t>列举了四个地区的具体案例，由于这四个</w:t>
      </w:r>
      <w:r w:rsidR="00182B9F">
        <w:rPr>
          <w:rFonts w:asciiTheme="minorEastAsia" w:hAnsiTheme="minorEastAsia" w:hint="eastAsia"/>
          <w:szCs w:val="21"/>
        </w:rPr>
        <w:lastRenderedPageBreak/>
        <w:t>案例都十分具体且差异较大，更利于我们理解革命型乡村政治。在海丰我们可以看到正是由于革命者的温和策略，农民会更多是作为“协调者”而存在，作者几次提到了农民会是在承认县司法体系的前提下进行革命活动，希望协调农民与地方政府的关系（回到开头提到的问题，农民革命一定伴随着乡村政治系统的大幅度重组整合吗？在这一案例中似乎并未看到）。正因如此，海丰失败的一个重要教训即缺乏武装力量。紧接着广东的案例则与海丰完全相反，革命者更为激进，因此它失败的原因在于未能把握时机，在革命尚脆弱的时候就招致了</w:t>
      </w:r>
      <w:r w:rsidR="00182B9F" w:rsidRPr="00182B9F">
        <w:rPr>
          <w:rFonts w:asciiTheme="minorEastAsia" w:hAnsiTheme="minorEastAsia" w:hint="eastAsia"/>
          <w:szCs w:val="21"/>
        </w:rPr>
        <w:t>农会与地主、绅士和民团这些传统势力的冲突</w:t>
      </w:r>
      <w:r w:rsidR="00182B9F">
        <w:rPr>
          <w:rFonts w:asciiTheme="minorEastAsia" w:hAnsiTheme="minorEastAsia" w:hint="eastAsia"/>
          <w:szCs w:val="21"/>
        </w:rPr>
        <w:t>，遭到了传统势力的联合反击，农会的力量薄弱最终无法承受这样的压力而失败。</w:t>
      </w:r>
      <w:r w:rsidR="00242D7B">
        <w:rPr>
          <w:rFonts w:asciiTheme="minorEastAsia" w:hAnsiTheme="minorEastAsia" w:hint="eastAsia"/>
          <w:szCs w:val="21"/>
        </w:rPr>
        <w:t>作者对于陕西和湖南农民运动经验的分析更多着眼于其独特的地域社会经济条件而导致的该地区农民运动的特点。正如作者所说，海丰和广东的案例是提出了农民运动的基本特征，陕西和湖南的案例则是指出了农民运动具有的区域特殊性。</w:t>
      </w:r>
    </w:p>
    <w:p w:rsidR="00EB577E" w:rsidRDefault="00EB577E" w:rsidP="0054158D">
      <w:pPr>
        <w:spacing w:line="400" w:lineRule="exact"/>
        <w:ind w:firstLineChars="300" w:firstLine="630"/>
        <w:rPr>
          <w:rFonts w:asciiTheme="minorEastAsia" w:hAnsiTheme="minorEastAsia" w:hint="eastAsia"/>
        </w:rPr>
      </w:pPr>
      <w:r>
        <w:rPr>
          <w:rFonts w:asciiTheme="minorEastAsia" w:hAnsiTheme="minorEastAsia" w:hint="eastAsia"/>
          <w:szCs w:val="21"/>
        </w:rPr>
        <w:t>总而言之，作者的中心观点即</w:t>
      </w:r>
      <w:proofErr w:type="gramStart"/>
      <w:r>
        <w:rPr>
          <w:rFonts w:asciiTheme="minorEastAsia" w:hAnsiTheme="minorEastAsia" w:hint="eastAsia"/>
          <w:szCs w:val="21"/>
        </w:rPr>
        <w:t>1920</w:t>
      </w:r>
      <w:proofErr w:type="gramEnd"/>
      <w:r>
        <w:rPr>
          <w:rFonts w:asciiTheme="minorEastAsia" w:hAnsiTheme="minorEastAsia" w:hint="eastAsia"/>
          <w:szCs w:val="21"/>
        </w:rPr>
        <w:t>年代的农民运动更为“平民化”</w:t>
      </w:r>
      <w:r w:rsidRPr="00EB577E">
        <w:rPr>
          <w:rFonts w:asciiTheme="minorEastAsia" w:hAnsiTheme="minorEastAsia" w:hint="eastAsia"/>
          <w:szCs w:val="21"/>
        </w:rPr>
        <w:t>——</w:t>
      </w:r>
      <w:r>
        <w:rPr>
          <w:rFonts w:asciiTheme="minorEastAsia" w:hAnsiTheme="minorEastAsia" w:hint="eastAsia"/>
          <w:szCs w:val="21"/>
        </w:rPr>
        <w:t>“</w:t>
      </w:r>
      <w:proofErr w:type="gramStart"/>
      <w:r w:rsidRPr="00EB577E">
        <w:rPr>
          <w:rFonts w:asciiTheme="minorEastAsia" w:hAnsiTheme="minorEastAsia"/>
          <w:szCs w:val="21"/>
        </w:rPr>
        <w:t>1920</w:t>
      </w:r>
      <w:proofErr w:type="gramEnd"/>
      <w:r w:rsidRPr="00EB577E">
        <w:rPr>
          <w:rFonts w:asciiTheme="minorEastAsia" w:hAnsiTheme="minorEastAsia" w:hint="eastAsia"/>
          <w:szCs w:val="21"/>
        </w:rPr>
        <w:t>年代</w:t>
      </w:r>
      <w:r w:rsidRPr="00EB577E">
        <w:rPr>
          <w:rFonts w:asciiTheme="minorEastAsia" w:hAnsiTheme="minorEastAsia"/>
          <w:szCs w:val="21"/>
        </w:rPr>
        <w:t>的农民运动则是抱有平民主义思想的革命者力图在官僚体系和</w:t>
      </w:r>
      <w:r w:rsidRPr="00EB577E">
        <w:rPr>
          <w:rFonts w:asciiTheme="minorEastAsia" w:hAnsiTheme="minorEastAsia" w:hint="eastAsia"/>
          <w:szCs w:val="21"/>
        </w:rPr>
        <w:t>民间</w:t>
      </w:r>
      <w:r w:rsidRPr="00EB577E">
        <w:rPr>
          <w:rFonts w:asciiTheme="minorEastAsia" w:hAnsiTheme="minorEastAsia"/>
          <w:szCs w:val="21"/>
        </w:rPr>
        <w:t>头面人物之外，</w:t>
      </w:r>
      <w:r w:rsidRPr="00EB577E">
        <w:rPr>
          <w:rFonts w:asciiTheme="minorEastAsia" w:hAnsiTheme="minorEastAsia" w:hint="eastAsia"/>
          <w:szCs w:val="21"/>
        </w:rPr>
        <w:t>以</w:t>
      </w:r>
      <w:r w:rsidRPr="00EB577E">
        <w:rPr>
          <w:rFonts w:asciiTheme="minorEastAsia" w:hAnsiTheme="minorEastAsia"/>
          <w:szCs w:val="21"/>
        </w:rPr>
        <w:t>之前缺乏政治参与的草根农民为基础，</w:t>
      </w:r>
      <w:r w:rsidRPr="00EB577E">
        <w:rPr>
          <w:rFonts w:asciiTheme="minorEastAsia" w:hAnsiTheme="minorEastAsia" w:hint="eastAsia"/>
          <w:szCs w:val="21"/>
        </w:rPr>
        <w:t>开辟</w:t>
      </w:r>
      <w:r w:rsidRPr="00EB577E">
        <w:rPr>
          <w:rFonts w:asciiTheme="minorEastAsia" w:hAnsiTheme="minorEastAsia"/>
          <w:szCs w:val="21"/>
        </w:rPr>
        <w:t>新的政治空间，</w:t>
      </w:r>
      <w:r w:rsidRPr="00EB577E">
        <w:rPr>
          <w:rFonts w:asciiTheme="minorEastAsia" w:hAnsiTheme="minorEastAsia" w:hint="eastAsia"/>
          <w:szCs w:val="21"/>
        </w:rPr>
        <w:t>进而</w:t>
      </w:r>
      <w:r w:rsidRPr="00EB577E">
        <w:rPr>
          <w:rFonts w:asciiTheme="minorEastAsia" w:hAnsiTheme="minorEastAsia"/>
          <w:szCs w:val="21"/>
        </w:rPr>
        <w:t>重组基层的县乡政治</w:t>
      </w:r>
      <w:r>
        <w:rPr>
          <w:rFonts w:asciiTheme="minorEastAsia" w:hAnsiTheme="minorEastAsia" w:hint="eastAsia"/>
          <w:szCs w:val="21"/>
        </w:rPr>
        <w:t>”</w:t>
      </w:r>
      <w:r>
        <w:rPr>
          <w:rFonts w:ascii="Songti SC" w:eastAsia="Songti SC" w:hAnsi="Songti SC"/>
        </w:rPr>
        <w:t>。</w:t>
      </w:r>
      <w:r>
        <w:rPr>
          <w:rFonts w:asciiTheme="minorEastAsia" w:hAnsiTheme="minorEastAsia" w:hint="eastAsia"/>
        </w:rPr>
        <w:t>不得不说，这篇论文的确适合与《文化、权力与国家》一书对比学习，《文化》一书对于华北的农民运动解释较为详尽，本文作者却为我们提供了研究农民运动更为广阔的视角。</w:t>
      </w:r>
    </w:p>
    <w:p w:rsidR="00EB577E" w:rsidRPr="00EB577E" w:rsidRDefault="00EB577E" w:rsidP="0054158D">
      <w:pPr>
        <w:spacing w:line="400" w:lineRule="exact"/>
        <w:ind w:firstLineChars="300" w:firstLine="630"/>
        <w:rPr>
          <w:rFonts w:asciiTheme="minorEastAsia" w:hAnsiTheme="minorEastAsia"/>
          <w:szCs w:val="21"/>
        </w:rPr>
      </w:pPr>
      <w:r>
        <w:rPr>
          <w:rFonts w:asciiTheme="minorEastAsia" w:hAnsiTheme="minorEastAsia" w:hint="eastAsia"/>
        </w:rPr>
        <w:t>读书笔记中大多篇幅是记录我的疑问，当然这更多是由于我本身相关知识浅薄</w:t>
      </w:r>
      <w:r w:rsidR="0054158D">
        <w:rPr>
          <w:rFonts w:asciiTheme="minorEastAsia" w:hAnsiTheme="minorEastAsia" w:hint="eastAsia"/>
        </w:rPr>
        <w:t>所造成，并不影响这篇论文仍是一片佳作，值得记录和深思</w:t>
      </w:r>
      <w:r>
        <w:rPr>
          <w:rFonts w:asciiTheme="minorEastAsia" w:hAnsiTheme="minorEastAsia" w:hint="eastAsia"/>
        </w:rPr>
        <w:t>。</w:t>
      </w:r>
    </w:p>
    <w:sectPr w:rsidR="00EB577E" w:rsidRPr="00EB577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44383" w:rsidRDefault="00A44383" w:rsidP="007B1C20">
      <w:r>
        <w:separator/>
      </w:r>
    </w:p>
  </w:endnote>
  <w:endnote w:type="continuationSeparator" w:id="0">
    <w:p w:rsidR="00A44383" w:rsidRDefault="00A44383" w:rsidP="007B1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ongti SC">
    <w:altName w:val="Arial Unicode MS"/>
    <w:charset w:val="88"/>
    <w:family w:val="auto"/>
    <w:pitch w:val="variable"/>
    <w:sig w:usb0="00000287" w:usb1="080F0000" w:usb2="00000010" w:usb3="00000000" w:csb0="001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44383" w:rsidRDefault="00A44383" w:rsidP="007B1C20">
      <w:r>
        <w:separator/>
      </w:r>
    </w:p>
  </w:footnote>
  <w:footnote w:type="continuationSeparator" w:id="0">
    <w:p w:rsidR="00A44383" w:rsidRDefault="00A44383" w:rsidP="007B1C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5774"/>
    <w:rsid w:val="00165774"/>
    <w:rsid w:val="00182B9F"/>
    <w:rsid w:val="001E34B4"/>
    <w:rsid w:val="00242D7B"/>
    <w:rsid w:val="00256FA5"/>
    <w:rsid w:val="0048189D"/>
    <w:rsid w:val="0054158D"/>
    <w:rsid w:val="00591518"/>
    <w:rsid w:val="00696056"/>
    <w:rsid w:val="007B1C20"/>
    <w:rsid w:val="00A44383"/>
    <w:rsid w:val="00A909A3"/>
    <w:rsid w:val="00EB57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1C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B1C20"/>
    <w:rPr>
      <w:sz w:val="18"/>
      <w:szCs w:val="18"/>
    </w:rPr>
  </w:style>
  <w:style w:type="paragraph" w:styleId="a4">
    <w:name w:val="footer"/>
    <w:basedOn w:val="a"/>
    <w:link w:val="Char0"/>
    <w:uiPriority w:val="99"/>
    <w:unhideWhenUsed/>
    <w:rsid w:val="007B1C20"/>
    <w:pPr>
      <w:tabs>
        <w:tab w:val="center" w:pos="4153"/>
        <w:tab w:val="right" w:pos="8306"/>
      </w:tabs>
      <w:snapToGrid w:val="0"/>
      <w:jc w:val="left"/>
    </w:pPr>
    <w:rPr>
      <w:sz w:val="18"/>
      <w:szCs w:val="18"/>
    </w:rPr>
  </w:style>
  <w:style w:type="character" w:customStyle="1" w:styleId="Char0">
    <w:name w:val="页脚 Char"/>
    <w:basedOn w:val="a0"/>
    <w:link w:val="a4"/>
    <w:uiPriority w:val="99"/>
    <w:rsid w:val="007B1C2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1C2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B1C20"/>
    <w:rPr>
      <w:sz w:val="18"/>
      <w:szCs w:val="18"/>
    </w:rPr>
  </w:style>
  <w:style w:type="paragraph" w:styleId="a4">
    <w:name w:val="footer"/>
    <w:basedOn w:val="a"/>
    <w:link w:val="Char0"/>
    <w:uiPriority w:val="99"/>
    <w:unhideWhenUsed/>
    <w:rsid w:val="007B1C20"/>
    <w:pPr>
      <w:tabs>
        <w:tab w:val="center" w:pos="4153"/>
        <w:tab w:val="right" w:pos="8306"/>
      </w:tabs>
      <w:snapToGrid w:val="0"/>
      <w:jc w:val="left"/>
    </w:pPr>
    <w:rPr>
      <w:sz w:val="18"/>
      <w:szCs w:val="18"/>
    </w:rPr>
  </w:style>
  <w:style w:type="character" w:customStyle="1" w:styleId="Char0">
    <w:name w:val="页脚 Char"/>
    <w:basedOn w:val="a0"/>
    <w:link w:val="a4"/>
    <w:uiPriority w:val="99"/>
    <w:rsid w:val="007B1C2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290</Words>
  <Characters>1655</Characters>
  <Application>Microsoft Office Word</Application>
  <DocSecurity>0</DocSecurity>
  <Lines>13</Lines>
  <Paragraphs>3</Paragraphs>
  <ScaleCrop>false</ScaleCrop>
  <Company/>
  <LinksUpToDate>false</LinksUpToDate>
  <CharactersWithSpaces>1942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cp:revision>
  <dcterms:created xsi:type="dcterms:W3CDTF">2015-09-23T09:20:00Z</dcterms:created>
  <dcterms:modified xsi:type="dcterms:W3CDTF">2015-09-26T02:23:00Z</dcterms:modified>
</cp:coreProperties>
</file>